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4.jpg" ContentType="image/jpeg"/>
  <Override PartName="/word/media/rId65.jpg" ContentType="image/jpeg"/>
  <Override PartName="/word/media/rId68.jpg" ContentType="image/jpeg"/>
  <Override PartName="/word/media/rId69.jpg" ContentType="image/jpeg"/>
  <Override PartName="/word/media/rId67.jpg" ContentType="image/jpeg"/>
  <Override PartName="/word/media/rId66.jpg" ContentType="image/jpeg"/>
  <Override PartName="/word/media/rId73.jpg" ContentType="image/jpeg"/>
  <Override PartName="/word/media/rId70.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Yonggang</w:t>
      </w:r>
      <w:r>
        <w:t xml:space="preserve"> </w:t>
      </w:r>
      <w:r>
        <w:t xml:space="preserve">Liu</w:t>
      </w:r>
      <w:r>
        <w:t xml:space="preserve"> </w:t>
      </w:r>
      <w:r>
        <w:t xml:space="preserve">(</w:t>
      </w:r>
      <w:hyperlink r:id="rId27">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8">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29">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0">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1">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2">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3">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4">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5">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6">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7">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2021-12-01 13:08:16</w:t>
      </w:r>
    </w:p>
    <w:bookmarkStart w:id="39" w:name="abstract"/>
    <w:p>
      <w:pPr>
        <w:pStyle w:val="Heading1"/>
      </w:pPr>
      <w:r>
        <w:t xml:space="preserve">Abstract</w:t>
      </w:r>
    </w:p>
    <w:p>
      <w:pPr>
        <w:pStyle w:val="FirstParagraph"/>
      </w:pPr>
      <w:r>
        <w:t xml:space="preserve">From March 30th to April 9th, 2021, 814 million liters of mixed legacy phosphate mining wastewater and marine dredge water from the Piney Point facility were released into Tampa Bay (Florida, USA). An estimated 186 metric tons of total nitrogen were exported to the Bay, exceeding typical annual external nitrogen loads in a matter of days. Elevated levels of phytoplankton (non-harmful diatoms) were observed in the nearshore regions of the lower Bay. Filamentous cyanobacteria blooms (</w:t>
      </w:r>
      <w:r>
        <w:rPr>
          <w:iCs/>
          <w:i/>
        </w:rPr>
        <w:t xml:space="preserve">Dapis</w:t>
      </w:r>
      <w:r>
        <w:t xml:space="preserve"> </w:t>
      </w:r>
      <w:r>
        <w:t xml:space="preserve">spp.) peaked in June, followed by blooms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 resources showed minimal changes over the study period. By comparing these results to decades of baseline environmental monitoring data, we conclude that many of the biological responses, observed after the release from Piney Point, are abnormal relative to historic conditions.</w:t>
      </w:r>
    </w:p>
    <w:p>
      <w:pPr>
        <w:pStyle w:val="BodyText"/>
      </w:pPr>
      <w:r>
        <w:rPr>
          <w:iCs/>
          <w:i/>
        </w:rPr>
        <w:t xml:space="preserve">Key words</w:t>
      </w:r>
      <w:r>
        <w:t xml:space="preserve">: eutrophication, macroalgae, nitrogen, phosphate mining,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related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effects of nitrogen, phytoplankton growth, water clarity, light limitation, and epiphytic growth that can eliminate seagrass from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w:t>
      </w:r>
      <w:r>
        <w:t xml:space="preserve"> </w:t>
      </w:r>
      <w:r>
        <w:t xml:space="preserve">(see supplement for a history of the facility,</w:t>
      </w:r>
      <w:r>
        <w:t xml:space="preserve"> </w:t>
      </w:r>
      <w:hyperlink w:anchor="ref-Henderson04">
        <w:r>
          <w:rPr>
            <w:rStyle w:val="Hyperlink"/>
          </w:rPr>
          <w:t xml:space="preserve">Henderson, 2004</w:t>
        </w:r>
      </w:hyperlink>
      <w:r>
        <w:t xml:space="preserve">)</w:t>
      </w:r>
      <w:r>
        <w:t xml:space="preserve">. Holding capacity of the ponds has decreased over time from seasonal rain events, tropical storms, and storage of dredging material from nearby Port Manatee. Unanticipated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leakages were detected from a tear in the plastic liner of the southern holding pond (NGS-S) at Piney Point. In response, the Florida Department of Environmental Protection (FDEP) authorized an</w:t>
      </w:r>
      <w:r>
        <w:t xml:space="preserve"> </w:t>
      </w:r>
      <w:hyperlink r:id="rId40">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 legacy phosphate mining wastewater and seawater from port dredging operations was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both phosphorus and nitrogen. Water quality parameters of NGS-S measured in 2019 showed total phosphorus (160 mg/L) and total nitrogen (230 mg/L) well above baseline conditions typical of surface waters in Tampa Bay.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from March 30th to April 9th,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in 2021 is provided, which is supported by the quantitative results from 2021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1"/>
    <w:bookmarkStart w:id="48" w:name="methods"/>
    <w:p>
      <w:pPr>
        <w:pStyle w:val="Heading1"/>
      </w:pPr>
      <w:r>
        <w:t xml:space="preserve">Methods</w:t>
      </w:r>
    </w:p>
    <w:bookmarkStart w:id="44" w:name="X6cb48ba5b9b5b982f6ba48c046d469fe28fe141"/>
    <w:p>
      <w:pPr>
        <w:pStyle w:val="Heading2"/>
      </w:pPr>
      <w:r>
        <w:t xml:space="preserve">Monitoring response to the emergency release</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 In short, 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(ug/L), pH, salinity (psu), temperature (C), and dissolved oxygen saturation (%). Most samples were surface collections by boat, with sample frequency approximately biweekly for locations around Piney Point. Phytoplankton samples included a mix of quantitative (cells/l) and qualitative (presence/absence) samples for major taxa at similar frequency and spatial distribution as the water quality samples. Phytoplankton blooms were described qualitatively as low/medium/high concentrations based on</w:t>
      </w:r>
      <w:r>
        <w:t xml:space="preserve"> </w:t>
      </w:r>
      <w:hyperlink r:id="rId42">
        <w:r>
          <w:rPr>
            <w:rStyle w:val="Hyperlink"/>
          </w:rPr>
          <w:t xml:space="preserve">FWC breakpoints</w:t>
        </w:r>
      </w:hyperlink>
      <w:r>
        <w:t xml:space="preserve"> </w:t>
      </w:r>
      <w:r>
        <w:t xml:space="preserve">at 10,000/100,000/1,000,000 cells/L. Seagrass and macroalgae sampling occurred approximately biweekly at 38 transects using a modified rapid assessment design following the</w:t>
      </w:r>
      <w:r>
        <w:t xml:space="preserve"> </w:t>
      </w:r>
      <w:r>
        <w:t xml:space="preserve">“</w:t>
      </w:r>
      <w:hyperlink r:id="rId43">
        <w:r>
          <w:rPr>
            <w:rStyle w:val="Hyperlink"/>
          </w:rPr>
          <w:t xml:space="preserve">Eyes on Seagrass</w:t>
        </w:r>
      </w:hyperlink>
      <w:r>
        <w:t xml:space="preserve">”</w:t>
      </w:r>
      <w:r>
        <w:t xml:space="preserve"> </w:t>
      </w:r>
      <w:r>
        <w:t xml:space="preserve">method developed by a local citizen science group in cooperation with academic and federal partners. Details of the sampling methods are provided in supplement.</w:t>
      </w:r>
    </w:p>
    <w:bookmarkEnd w:id="44"/>
    <w:bookmarkStart w:id="47"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5">
        <w:r>
          <w:rPr>
            <w:rStyle w:val="Hyperlink"/>
          </w:rPr>
          <w:t xml:space="preserve">https://wateratlas.usf.edu/</w:t>
        </w:r>
      </w:hyperlink>
      <w:r>
        <w:t xml:space="preserve">)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programmatic goals).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46">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For censored data (i.e., above or below detection), Secchi observations that were visually identified on the bottom (71 of 431 observations in the FDEP data) were removed from analysis, whereas all other non-detects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to accommodate measured concentrations of water quality variables that were below detection were used that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w:t>
      </w:r>
    </w:p>
    <w:bookmarkEnd w:id="47"/>
    <w:bookmarkEnd w:id="48"/>
    <w:bookmarkStart w:id="54" w:name="results"/>
    <w:p>
      <w:pPr>
        <w:pStyle w:val="Heading1"/>
      </w:pPr>
      <w:r>
        <w:t xml:space="preserve">Results</w:t>
      </w:r>
    </w:p>
    <w:bookmarkStart w:id="49"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mid-April, with peak individual sample values in excess of 50 ug/L. Median concentrations for each week in April were less than 10 ug/L. The discharge phytoplankton biomass was comprised of over 99% of a spherical nanoplanktonic chlorophyte, with density of 337 x 10</w:t>
      </w:r>
      <m:oMath>
        <m:sSup>
          <m:e>
            <m:r>
              <m:t>​</m:t>
            </m:r>
          </m:e>
          <m:sup>
            <m:r>
              <m:t>6</m:t>
            </m:r>
          </m:sup>
        </m:sSup>
      </m:oMath>
      <w:r>
        <w:t xml:space="preserve"> </w:t>
      </w:r>
      <w:r>
        <w:t xml:space="preserve">cells/L. The phytoplankton communities near the discharge area in April were generally dominated by diatoms (Bacillariophyta). The initial diatom bloom did not persist past April. On April 20th, the toxic red tide species</w:t>
      </w:r>
      <w:r>
        <w:t xml:space="preserve"> </w:t>
      </w:r>
      <w:r>
        <w:rPr>
          <w:iCs/>
          <w:i/>
        </w:rPr>
        <w:t xml:space="preserve">Karenia brevis</w:t>
      </w:r>
      <w:r>
        <w:t xml:space="preserve"> </w:t>
      </w:r>
      <w:r>
        <w:t xml:space="preserve">was first observed near Anna Maria Sound at the southern edge of the mouth of Tampa Bay. By May/June, bloom levels of</w:t>
      </w:r>
      <w:r>
        <w:t xml:space="preserve"> </w:t>
      </w:r>
      <w:r>
        <w:rPr>
          <w:iCs/>
          <w:i/>
        </w:rPr>
        <w:t xml:space="preserve">K. brevis</w:t>
      </w:r>
      <w:r>
        <w:t xml:space="preserve"> </w:t>
      </w:r>
      <w:r>
        <w:t xml:space="preserve">were observed, with peak concentrations in excess of 1 x 10</w:t>
      </w:r>
      <m:oMath>
        <m:sSup>
          <m:e>
            <m:r>
              <m:t>​</m:t>
            </m:r>
          </m:e>
          <m:sup>
            <m:r>
              <m:t>6</m:t>
            </m:r>
          </m:sup>
        </m:sSup>
      </m:oMath>
      <w:r>
        <w:t xml:space="preserve"> </w:t>
      </w:r>
      <w:r>
        <w:t xml:space="preserve">cells/L in lower Tampa Bay. Also during May/June, high abundances of benthic filamentous cyanobacteria (</w:t>
      </w:r>
      <w:r>
        <w:rPr>
          <w:iCs/>
          <w:i/>
        </w:rPr>
        <w:t xml:space="preserve">Dapis</w:t>
      </w:r>
      <w:r>
        <w:t xml:space="preserve"> </w:t>
      </w:r>
      <w:r>
        <w:t xml:space="preserve">spp.) were observed in Anna Maria Sound (Area 3) and near Port Manatee (Area 1). High levels of cyanobacteria coverage on benthic and seagrass habitats were observed, in addition to large floating mats on the surface.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49"/>
    <w:bookmarkStart w:id="50"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8% and 23%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38% of observations in Areas 2 and 3. Notable differences were also observed for dissolved oxygen (e.g., 53% were above in Area 1, 44% in Area 2). Physical parameters (salinity, temperature) and inorganic nitrogen (ammonia, nitrate/nitrite) were more often in normal range, although initial time series showed much higher concentrations for ammonia in April near Area 1. Ammonia concentrations were observed in excess of 10 mg/L, about three orders of magnitude above baseline (see supplement,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0"/>
    <w:bookmarkStart w:id="51"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and cyanobacteria macroalgae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genera</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with turtle grass being the dominant species in more euhaline waters closer to the Gulf. There is no historical macroalgae record for Tampa Bay that is comparable to the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Benthic filamentous macroalgal cyanobacteria (</w:t>
      </w:r>
      <w:r>
        <w:rPr>
          <w:iCs/>
          <w:i/>
        </w:rPr>
        <w:t xml:space="preserve">Dapis</w:t>
      </w:r>
      <w:r>
        <w:t xml:space="preserve"> </w:t>
      </w:r>
      <w:r>
        <w:t xml:space="preserve">spp.) was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(see supplement). Tests using Braun Blanquet abundances also produced similar results (see supplement).</w:t>
      </w:r>
    </w:p>
    <w:bookmarkEnd w:id="51"/>
    <w:bookmarkStart w:id="52" w:name="red-tide-impacts"/>
    <w:p>
      <w:pPr>
        <w:pStyle w:val="Heading2"/>
      </w:pPr>
      <w:r>
        <w:t xml:space="preserve">Red tide impacts</w:t>
      </w:r>
    </w:p>
    <w:p>
      <w:pPr>
        <w:pStyle w:val="FirstParagraph"/>
      </w:pPr>
      <w:r>
        <w:t xml:space="preserve">Medium bloom concentrations of the red tide species</w:t>
      </w:r>
      <w:r>
        <w:t xml:space="preserve"> </w:t>
      </w:r>
      <w:r>
        <w:rPr>
          <w:iCs/>
          <w:i/>
        </w:rPr>
        <w:t xml:space="preserve">K. brevis</w:t>
      </w:r>
      <w:r>
        <w:t xml:space="preserve"> </w:t>
      </w:r>
      <w:r>
        <w:t xml:space="preserve">in 2021 were first observed in Tampa Bay the week of May 23, with high bloom concentrations peaking by the week of July 4th, after which concentrations declined (Figure</w:t>
      </w:r>
      <w:r>
        <w:t xml:space="preserve"> </w:t>
      </w:r>
      <w:r>
        <w:t xml:space="preserve">7</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10,000 cells/L, notably 1963, 1971, 2005, 2018, and 2021. Median cell concentrations for most years were well below 1,000 cells/L. The highest concentration of 20 million cells/L was observed in 1971, whereas the second highest concentration of 17.6 million cells/L was observed in 2021. Cumulative rainfall and associated inflow from the main rivers entering Tampa Bay in 2021 were below historical values (1995 - 2020) in the months preceding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in addition to the elevated nutrient concentrations from the Piney Point discharge.</w:t>
      </w:r>
    </w:p>
    <w:p>
      <w:pPr>
        <w:pStyle w:val="BodyText"/>
      </w:pPr>
      <w:r>
        <w:t xml:space="preserve">Fish kill reports attributed to red tide 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during peak</w:t>
      </w:r>
      <w:r>
        <w:t xml:space="preserve"> </w:t>
      </w:r>
      <w:r>
        <w:rPr>
          <w:iCs/>
          <w:i/>
        </w:rPr>
        <w:t xml:space="preserve">K. brevis</w:t>
      </w:r>
      <w:r>
        <w:t xml:space="preserve"> </w:t>
      </w:r>
      <w:r>
        <w:t xml:space="preserve">cell concentrations, whereas red tide in the bay was observed for nearly four months. Increased fish kill reports in early July also coincided with a shift in winds from Tropical Storm Elsa (Figure</w:t>
      </w:r>
      <w:r>
        <w:t xml:space="preserve"> </w:t>
      </w:r>
      <w:r>
        <w:t xml:space="preserve">7</w:t>
      </w:r>
      <w:r>
        <w:t xml:space="preserve">f, pre-, post-storm wind roses), which moved dead fish closer to populated nearshore areas, as noted earlier. By August, Pinellas County and the city of St. Petersburg removed over 1600 metric tons of dead fish near public and private shoreline areas (K. Hammer Levy, Pinellas County, pers. comm. Aug. 2021).</w:t>
      </w:r>
    </w:p>
    <w:bookmarkEnd w:id="52"/>
    <w:bookmarkStart w:id="53"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This initial peak in water quality parameters suggested a unique response of the phytoplankton community as an increase in diatoms (e.g., centric species, also</w:t>
      </w:r>
      <w:r>
        <w:t xml:space="preserve"> </w:t>
      </w:r>
      <w:r>
        <w:rPr>
          <w:iCs/>
          <w:i/>
        </w:rPr>
        <w:t xml:space="preserve">Asterionellopsis</w:t>
      </w:r>
      <w:r>
        <w:t xml:space="preserve"> </w:t>
      </w:r>
      <w:r>
        <w:t xml:space="preserve">sp. and</w:t>
      </w:r>
      <w:r>
        <w:t xml:space="preserve"> </w:t>
      </w:r>
      <w:r>
        <w:rPr>
          <w:iCs/>
          <w:i/>
        </w:rPr>
        <w:t xml:space="preserve">Skeletonema</w:t>
      </w:r>
      <w:r>
        <w:t xml:space="preserve"> </w:t>
      </w:r>
      <w:r>
        <w:t xml:space="preserve">sp., Figure</w:t>
      </w:r>
      <w:r>
        <w:t xml:space="preserve"> </w:t>
      </w:r>
      <w:r>
        <w:t xml:space="preserve">8</w:t>
      </w:r>
      <w:r>
        <w:t xml:space="preserve">c) that can readily utilize inorganic forms of nitrogen that were a majority percentage of the TN in the initial discharge. Water quality indicators improved slightly following the decrease in diatoms in late April, as noted by relatively lower concentrations of TN and chl-a.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3"/>
    <w:bookmarkEnd w:id="54"/>
    <w:bookmarkStart w:id="62" w:name="discussion"/>
    <w:p>
      <w:pPr>
        <w:pStyle w:val="Heading1"/>
      </w:pPr>
      <w:r>
        <w:t xml:space="preserve">Discussion</w:t>
      </w:r>
    </w:p>
    <w:p>
      <w:pPr>
        <w:pStyle w:val="FirstParagraph"/>
      </w:pPr>
      <w:r>
        <w:t xml:space="preserve">The observed conditions in Tampa Bay in 2021 following unanticipated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release at Port Manatee, 2) high abundance of Cyanobacteria in Anna Maria Sound and near Port Manatee, 3)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These conditions were widespread in lower and middle Tampa Bay.</w:t>
      </w:r>
    </w:p>
    <w:p>
      <w:pPr>
        <w:pStyle w:val="BodyText"/>
      </w:pPr>
      <w:r>
        <w:t xml:space="preserve">In addition to the changing environmental conditions observed during the summer, the Piney Point event also represented an anomalous volume and load of labile nitrogen released directly into lower Tampa Bay. Spill events</w:t>
      </w:r>
      <w:r>
        <w:t xml:space="preserve"> </w:t>
      </w:r>
      <w:hyperlink r:id="rId55">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56">
        <w:r>
          <w:rPr>
            <w:rStyle w:val="Hyperlink"/>
          </w:rPr>
          <w:t xml:space="preserve">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57">
        <w:r>
          <w:rPr>
            <w:rStyle w:val="Hyperlink"/>
          </w:rPr>
          <w:t xml:space="preserve">https://tbep-tech.github.io/load-estimates/</w:t>
        </w:r>
      </w:hyperlink>
      <w:r>
        <w:t xml:space="preserve">). From both a monitoring perspective and the nature of the unanticipated release into Tampa Bay, indicators of eutrophication from the 2021 water quality data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(see supplement). Of note is that inorganic species of nitrogen, mainly ammonia, were only present at high concentrations in early April. Concerns of the negative impacts of nutrients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organic sources were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such releases may have contributed to the persistence and intensity of the red tide event that spread throughout lower and middle Tampa Bay. Fisheries resources were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were extended through the fall of 2021.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in comparison to the 2021 bloom event, potentially allowing fishes to migrate from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w:t>
      </w:r>
    </w:p>
    <w:p>
      <w:pPr>
        <w:pStyle w:val="BodyText"/>
      </w:pPr>
      <w:r>
        <w:t xml:space="preserve">For seagrasses, major bloom events in 2021 produced unfavourable water quality conditions, although changes in frequency occurrence of seagrasses were minimal over the initial study period.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in the context of broader issues affecting ecosystem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macroalgae community was a high abundance of cyanobacteria (i.e.,</w:t>
      </w:r>
      <w:r>
        <w:t xml:space="preserve"> </w:t>
      </w:r>
      <w:r>
        <w:rPr>
          <w:iCs/>
          <w:i/>
        </w:rPr>
        <w:t xml:space="preserve">Dapis</w:t>
      </w:r>
      <w:r>
        <w:t xml:space="preserve"> </w:t>
      </w:r>
      <w:r>
        <w:t xml:space="preserve">spp.) in May and June. Unusually high abundances of</w:t>
      </w:r>
      <w:r>
        <w:t xml:space="preserve"> </w:t>
      </w:r>
      <w:r>
        <w:rPr>
          <w:iCs/>
          <w:i/>
        </w:rPr>
        <w:t xml:space="preserve">Dapis</w:t>
      </w:r>
      <w:r>
        <w:t xml:space="preserve"> </w:t>
      </w:r>
      <w:r>
        <w:t xml:space="preserve">spp. were observed in Anna Maria Sound near the mouth of Tampa Bay and near Port Manatee at the release site. Long-term monitoring data describing normal seasonal variation in macroalgae are unavailable and we cannot distinguish between seasonal changes and those in potential response to the Piney Point release.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Additional monitoring and analysis are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 see</w:t>
      </w:r>
      <w:r>
        <w:t xml:space="preserve"> </w:t>
      </w:r>
      <w:hyperlink r:id="rId58">
        <w:r>
          <w:rPr>
            <w:rStyle w:val="Hyperlink"/>
          </w:rPr>
          <w:t xml:space="preserve">https://shiny.tbep.org/piney-point</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59">
        <w:r>
          <w:rPr>
            <w:rStyle w:val="Hyperlink"/>
          </w:rPr>
          <w:t xml:space="preserve">unpublished results</w:t>
        </w:r>
      </w:hyperlink>
      <w:r>
        <w:t xml:space="preserve">). Sediment contaminant results for a suite of metals and chemicals as well as percent silt/clay for both April and September 2021 benthic samples are not yet available at the time of writing.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0">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1">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can negatively affect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due to a different fertilizer production method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(see supplement). The fate of the phosphorus in Tampa Bay is unknown.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2"/>
    <w:bookmarkStart w:id="63"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3"/>
    <w:bookmarkStart w:id="74"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4"/>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426063"/>
            <wp:effectExtent b="0" l="0" r="0" t="0"/>
            <wp:docPr descr="Figure 2: Graphical timeline of events in Tampa Bay from March 30th through September 2021 following the release from Piney Point. Inset image shows blooms of cyanobacteria macroalgae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65"/>
                    <a:stretch>
                      <a:fillRect/>
                    </a:stretch>
                  </pic:blipFill>
                  <pic:spPr bwMode="auto">
                    <a:xfrm>
                      <a:off x="0" y="0"/>
                      <a:ext cx="5943600" cy="2426063"/>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release from Piney Point. Inset image shows blooms of cyanobacteria macroalgae (</w:t>
      </w:r>
      <w:r>
        <w:rPr>
          <w:iCs/>
          <w:i/>
        </w:rPr>
        <w:t xml:space="preserve">Dapis</w:t>
      </w:r>
      <w:r>
        <w:t xml:space="preserve"> </w:t>
      </w:r>
      <w:r>
        <w:t xml:space="preserve">spp.).</w:t>
      </w:r>
    </w:p>
    <w:p>
      <w:pPr>
        <w:pStyle w:val="CaptionedFigure"/>
      </w:pPr>
      <w:r>
        <w:drawing>
          <wp:inline>
            <wp:extent cx="5943600" cy="3467099"/>
            <wp:effectExtent b="0" l="0" r="0" t="0"/>
            <wp:docPr descr="Figure 3: Water quality data (raw observations) for April through September 2021 following the releas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6"/>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release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67"/>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68"/>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6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summed hydrologic loads of major tributaries to Tampa Bay from USGS gaged sites, and wind rose plots are from wind measurements at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0"/>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1">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2">
        <w:r>
          <w:rPr>
            <w:rStyle w:val="Hyperlink"/>
          </w:rPr>
          <w:t xml:space="preserve">https://public.myfwc.com/FWRI/FishKillReport/</w:t>
        </w:r>
      </w:hyperlink>
      <w:r>
        <w:t xml:space="preserve">), precipitation data are from Tampa International Airport, inflow estimates are for summed hydrologic loads of major tributaries to Tampa Bay from USGS gaged sites, and wind rose plots are from wind measurements at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3"/>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4"/>
    <w:bookmarkStart w:id="75"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stack water or release water."/>
      </w:tblPr>
      <w:tblGrid>
        <w:gridCol w:w="1671"/>
        <w:gridCol w:w="1235"/>
        <w:gridCol w:w="1671"/>
        <w:gridCol w:w="3342"/>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end-of-pipe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150.5</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147.5</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(ug/L)</w:t>
            </w:r>
          </w:p>
        </w:tc>
        <w:tc>
          <w:tcPr/>
          <w:p>
            <w:pPr>
              <w:pStyle w:val="Compact"/>
              <w:jc w:val="left"/>
            </w:pPr>
            <w:r>
              <w:t xml:space="preserve">-</w:t>
            </w:r>
          </w:p>
        </w:tc>
        <w:tc>
          <w:tcPr/>
          <w:p>
            <w:pPr>
              <w:pStyle w:val="Compact"/>
              <w:jc w:val="left"/>
            </w:pPr>
            <w:r>
              <w:t xml:space="preserve">105</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(ug/L)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65</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58</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(ug/L)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62</w:t>
            </w:r>
          </w:p>
        </w:tc>
        <w:tc>
          <w:tcPr/>
          <w:p>
            <w:pPr>
              <w:pStyle w:val="Compact"/>
              <w:jc w:val="right"/>
            </w:pPr>
            <w:r>
              <w:t xml:space="preserve">8</w:t>
            </w:r>
          </w:p>
        </w:tc>
        <w:tc>
          <w:tcPr/>
          <w:p>
            <w:pPr>
              <w:pStyle w:val="Compact"/>
              <w:jc w:val="right"/>
            </w:pPr>
            <w:r>
              <w:t xml:space="preserve">31</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58</w:t>
            </w:r>
          </w:p>
        </w:tc>
        <w:tc>
          <w:tcPr/>
          <w:p>
            <w:pPr>
              <w:pStyle w:val="Compact"/>
              <w:jc w:val="right"/>
            </w:pPr>
            <w:r>
              <w:t xml:space="preserve">12</w:t>
            </w:r>
          </w:p>
        </w:tc>
        <w:tc>
          <w:tcPr/>
          <w:p>
            <w:pPr>
              <w:pStyle w:val="Compact"/>
              <w:jc w:val="right"/>
            </w:pPr>
            <w:r>
              <w:t xml:space="preserve">30</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(ug/L)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23</w:t>
            </w:r>
          </w:p>
        </w:tc>
        <w:tc>
          <w:tcPr/>
          <w:p>
            <w:pPr>
              <w:pStyle w:val="Compact"/>
              <w:jc w:val="right"/>
            </w:pPr>
            <w:r>
              <w:t xml:space="preserve">8</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54</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56</w:t>
            </w:r>
          </w:p>
        </w:tc>
        <w:tc>
          <w:tcPr/>
          <w:p>
            <w:pPr>
              <w:pStyle w:val="Compact"/>
              <w:jc w:val="right"/>
            </w:pPr>
            <w:r>
              <w:t xml:space="preserve">0</w:t>
            </w:r>
          </w:p>
        </w:tc>
        <w:tc>
          <w:tcPr/>
          <w:p>
            <w:pPr>
              <w:pStyle w:val="Compact"/>
              <w:jc w:val="right"/>
            </w:pPr>
            <w:r>
              <w:t xml:space="preserve">44</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7</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44</w:t>
            </w:r>
          </w:p>
        </w:tc>
        <w:tc>
          <w:tcPr/>
          <w:p>
            <w:pPr>
              <w:pStyle w:val="Compact"/>
              <w:jc w:val="right"/>
            </w:pPr>
            <w:r>
              <w:t xml:space="preserve">18</w:t>
            </w:r>
          </w:p>
        </w:tc>
        <w:tc>
          <w:tcPr/>
          <w:p>
            <w:pPr>
              <w:pStyle w:val="Compact"/>
              <w:jc w:val="right"/>
            </w:pPr>
            <w:r>
              <w:t xml:space="preserve">38</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12</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72</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11</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(ug/L)</w:t>
            </w:r>
          </w:p>
        </w:tc>
        <w:tc>
          <w:tcPr/>
          <w:p>
            <w:pPr>
              <w:pStyle w:val="Compact"/>
              <w:jc w:val="left"/>
            </w:pPr>
            <w:r>
              <w:t xml:space="preserve">61.89**</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(ug/L)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20.88**</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(ug/L)</w:t>
            </w:r>
          </w:p>
        </w:tc>
        <w:tc>
          <w:tcPr/>
          <w:p>
            <w:pPr>
              <w:pStyle w:val="Compact"/>
              <w:jc w:val="left"/>
            </w:pPr>
            <w:r>
              <w:t xml:space="preserve">35.64**</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-0.480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ce</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1.610</w:t>
            </w:r>
          </w:p>
        </w:tc>
      </w:tr>
      <w:tr>
        <w:tc>
          <w:tcPr/>
          <w:p>
            <w:pPr>
              <w:pStyle w:val="Compact"/>
            </w:pPr>
          </w:p>
        </w:tc>
        <w:tc>
          <w:tcPr/>
          <w:p>
            <w:pPr>
              <w:pStyle w:val="Compact"/>
            </w:pPr>
          </w:p>
        </w:tc>
        <w:tc>
          <w:tcPr/>
          <w:p>
            <w:pPr>
              <w:pStyle w:val="Compact"/>
            </w:pPr>
          </w:p>
        </w:tc>
        <w:tc>
          <w:tcPr/>
          <w:p>
            <w:pPr>
              <w:pStyle w:val="Compact"/>
              <w:jc w:val="left"/>
            </w:pPr>
            <w:r>
              <w:t xml:space="preserve">de</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abcde</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15.94*</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5"/>
    <w:bookmarkStart w:id="188" w:name="references"/>
    <w:p>
      <w:pPr>
        <w:pStyle w:val="Heading1"/>
      </w:pPr>
      <w:r>
        <w:t xml:space="preserve">References</w:t>
      </w:r>
    </w:p>
    <w:bookmarkStart w:id="187" w:name="refs"/>
    <w:bookmarkStart w:id="77"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6">
        <w:r>
          <w:rPr>
            <w:rStyle w:val="Hyperlink"/>
          </w:rPr>
          <w:t xml:space="preserve">https://doi.org/10.1016/j.hal.2006.08.004</w:t>
        </w:r>
      </w:hyperlink>
    </w:p>
    <w:bookmarkEnd w:id="77"/>
    <w:bookmarkStart w:id="79"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8">
        <w:r>
          <w:rPr>
            <w:rStyle w:val="Hyperlink"/>
          </w:rPr>
          <w:t xml:space="preserve">https://doi.org/10.1016/j.marpolbul.2004.10.016</w:t>
        </w:r>
      </w:hyperlink>
    </w:p>
    <w:bookmarkEnd w:id="79"/>
    <w:bookmarkStart w:id="81" w:name="ref-Bates76"/>
    <w:p>
      <w:pPr>
        <w:pStyle w:val="Bibliography"/>
      </w:pPr>
      <w:r>
        <w:t xml:space="preserve">Bates, S.S., 1976. Effects of light and ammonium on nitrate uptake by two species of estuarine phytoplankton. Limnology and oceanography 21, 212–218.</w:t>
      </w:r>
      <w:r>
        <w:t xml:space="preserve"> </w:t>
      </w:r>
      <w:hyperlink r:id="rId80">
        <w:r>
          <w:rPr>
            <w:rStyle w:val="Hyperlink"/>
          </w:rPr>
          <w:t xml:space="preserve">https://doi.org/10.4319/lo.1976.21.2.0212</w:t>
        </w:r>
      </w:hyperlink>
    </w:p>
    <w:bookmarkEnd w:id="81"/>
    <w:bookmarkStart w:id="83"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2">
        <w:r>
          <w:rPr>
            <w:rStyle w:val="Hyperlink"/>
          </w:rPr>
          <w:t xml:space="preserve">https://doi.org/10.18785/gcr.2901.02</w:t>
        </w:r>
      </w:hyperlink>
    </w:p>
    <w:bookmarkEnd w:id="83"/>
    <w:bookmarkStart w:id="85"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4">
        <w:r>
          <w:rPr>
            <w:rStyle w:val="Hyperlink"/>
          </w:rPr>
          <w:t xml:space="preserve">https://doi.org/10.1007/s12237-017-0287-1</w:t>
        </w:r>
      </w:hyperlink>
    </w:p>
    <w:bookmarkEnd w:id="85"/>
    <w:bookmarkStart w:id="86" w:name="ref-Beck21"/>
    <w:p>
      <w:pPr>
        <w:pStyle w:val="Bibliography"/>
      </w:pPr>
      <w:r>
        <w:t xml:space="preserve">Beck, M.W., Schrandt, M., Wessel, M., Sherwood, E., Raulerson, G., Best, B., 2021. Tbeptools: Data and indicators for the tampa bay estuary program.</w:t>
      </w:r>
    </w:p>
    <w:bookmarkEnd w:id="86"/>
    <w:bookmarkStart w:id="87" w:name="ref-Bryan20"/>
    <w:p>
      <w:pPr>
        <w:pStyle w:val="Bibliography"/>
      </w:pPr>
      <w:r>
        <w:t xml:space="preserve">Bryan, J., 2020. googlesheets4: Access google sheets using the sheets API V4.</w:t>
      </w:r>
    </w:p>
    <w:bookmarkEnd w:id="87"/>
    <w:bookmarkStart w:id="89"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8">
        <w:r>
          <w:rPr>
            <w:rStyle w:val="Hyperlink"/>
          </w:rPr>
          <w:t xml:space="preserve">https://doi.org/10.1016/S0265-931X(00)00164-8</w:t>
        </w:r>
      </w:hyperlink>
    </w:p>
    <w:bookmarkEnd w:id="89"/>
    <w:bookmarkStart w:id="91"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0">
        <w:r>
          <w:rPr>
            <w:rStyle w:val="Hyperlink"/>
          </w:rPr>
          <w:t xml:space="preserve">https://doi.org/10.1007/s12237-013-9701-5</w:t>
        </w:r>
      </w:hyperlink>
    </w:p>
    <w:bookmarkEnd w:id="91"/>
    <w:bookmarkStart w:id="93"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2">
        <w:r>
          <w:rPr>
            <w:rStyle w:val="Hyperlink"/>
          </w:rPr>
          <w:t xml:space="preserve">https://doi.org/10.4031/MTSJ.52.3.6</w:t>
        </w:r>
      </w:hyperlink>
    </w:p>
    <w:bookmarkEnd w:id="93"/>
    <w:bookmarkStart w:id="95" w:name="ref-Chen19"/>
    <w:p>
      <w:pPr>
        <w:pStyle w:val="Bibliography"/>
      </w:pPr>
      <w:r>
        <w:t xml:space="preserve">Chen, J., Weisberg, R.H., Liu, Y., Zheng, L., Zhu, J., 2019. On the momentum balance of tampa bay. Journal of Geophysical Research: Oceans 124, 4492–4510.</w:t>
      </w:r>
      <w:r>
        <w:t xml:space="preserve"> </w:t>
      </w:r>
      <w:hyperlink r:id="rId94">
        <w:r>
          <w:rPr>
            <w:rStyle w:val="Hyperlink"/>
          </w:rPr>
          <w:t xml:space="preserve">https://doi.org/10.1029/2018JC014890</w:t>
        </w:r>
      </w:hyperlink>
    </w:p>
    <w:bookmarkEnd w:id="95"/>
    <w:bookmarkStart w:id="97"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6">
        <w:r>
          <w:rPr>
            <w:rStyle w:val="Hyperlink"/>
          </w:rPr>
          <w:t xml:space="preserve">https://doi.org/10.1890/1051-0761(2006)016[1405:UOGMAI]2.0.CO;2</w:t>
        </w:r>
      </w:hyperlink>
    </w:p>
    <w:bookmarkEnd w:id="97"/>
    <w:bookmarkStart w:id="98" w:name="ref-DAgostino20"/>
    <w:p>
      <w:pPr>
        <w:pStyle w:val="Bibliography"/>
      </w:pPr>
      <w:r>
        <w:t xml:space="preserve">D’Agostino McGowan, L., Bryan, J., 2020. Googledrive: An interface to google drive.</w:t>
      </w:r>
    </w:p>
    <w:bookmarkEnd w:id="98"/>
    <w:bookmarkStart w:id="99"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9"/>
    <w:bookmarkStart w:id="100"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0"/>
    <w:bookmarkStart w:id="102"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1">
        <w:r>
          <w:rPr>
            <w:rStyle w:val="Hyperlink"/>
          </w:rPr>
          <w:t xml:space="preserve">https://www.jstor.org/stable/24322132</w:t>
        </w:r>
      </w:hyperlink>
    </w:p>
    <w:bookmarkEnd w:id="102"/>
    <w:bookmarkStart w:id="104"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3">
        <w:r>
          <w:rPr>
            <w:rStyle w:val="Hyperlink"/>
          </w:rPr>
          <w:t xml:space="preserve">https://doi.org/10.1007/s00027-011-0180-0</w:t>
        </w:r>
      </w:hyperlink>
    </w:p>
    <w:bookmarkEnd w:id="104"/>
    <w:bookmarkStart w:id="106"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5">
        <w:r>
          <w:rPr>
            <w:rStyle w:val="Hyperlink"/>
          </w:rPr>
          <w:t xml:space="preserve">https://doi.org/10.1016/j.marpolbul.2015.10.047</w:t>
        </w:r>
      </w:hyperlink>
    </w:p>
    <w:bookmarkEnd w:id="106"/>
    <w:bookmarkStart w:id="107"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7"/>
    <w:bookmarkStart w:id="109"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8">
        <w:r>
          <w:rPr>
            <w:rStyle w:val="Hyperlink"/>
          </w:rPr>
          <w:t xml:space="preserve">https://doi.org/10.1007/s12237-010-9350-x</w:t>
        </w:r>
      </w:hyperlink>
    </w:p>
    <w:bookmarkEnd w:id="109"/>
    <w:bookmarkStart w:id="111"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0">
        <w:r>
          <w:rPr>
            <w:rStyle w:val="Hyperlink"/>
          </w:rPr>
          <w:t xml:space="preserve">https://doi.org/10.1016/j.marpolbul.2010.11.017</w:t>
        </w:r>
      </w:hyperlink>
    </w:p>
    <w:bookmarkEnd w:id="111"/>
    <w:bookmarkStart w:id="113"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2">
        <w:r>
          <w:rPr>
            <w:rStyle w:val="Hyperlink"/>
          </w:rPr>
          <w:t xml:space="preserve">https://doi.org/10.3389/fmars.2021.605858</w:t>
        </w:r>
      </w:hyperlink>
    </w:p>
    <w:bookmarkEnd w:id="113"/>
    <w:bookmarkStart w:id="115"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4">
        <w:r>
          <w:rPr>
            <w:rStyle w:val="Hyperlink"/>
          </w:rPr>
          <w:t xml:space="preserve">https://doi.org/10.1007/s00267-005-0079-4</w:t>
        </w:r>
      </w:hyperlink>
    </w:p>
    <w:bookmarkEnd w:id="115"/>
    <w:bookmarkStart w:id="116"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6"/>
    <w:bookmarkStart w:id="118"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7">
        <w:r>
          <w:rPr>
            <w:rStyle w:val="Hyperlink"/>
          </w:rPr>
          <w:t xml:space="preserve">https://doi.org/10.1016/j.ecss.2014.10.003</w:t>
        </w:r>
      </w:hyperlink>
    </w:p>
    <w:bookmarkEnd w:id="118"/>
    <w:bookmarkStart w:id="119" w:name="ref-Helsel05"/>
    <w:p>
      <w:pPr>
        <w:pStyle w:val="Bibliography"/>
      </w:pPr>
      <w:r>
        <w:t xml:space="preserve">Helsel, D.R., 2005. Nondectects and data analysis: Statistics for censored environmental data. John Wiley &amp; Sons, New Jersey, USA.</w:t>
      </w:r>
    </w:p>
    <w:bookmarkEnd w:id="119"/>
    <w:bookmarkStart w:id="120"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0"/>
    <w:bookmarkStart w:id="121" w:name="ref-Hollander13"/>
    <w:p>
      <w:pPr>
        <w:pStyle w:val="Bibliography"/>
      </w:pPr>
      <w:r>
        <w:t xml:space="preserve">Hollander, M., Wolfe, D.A., Chicken, E., 2013. Nonparametric statistical methods. John Wiley &amp; Sons.</w:t>
      </w:r>
    </w:p>
    <w:bookmarkEnd w:id="121"/>
    <w:bookmarkStart w:id="122" w:name="ref-Holm79"/>
    <w:p>
      <w:pPr>
        <w:pStyle w:val="Bibliography"/>
      </w:pPr>
      <w:r>
        <w:t xml:space="preserve">Holm, S., 1979. A simple sequentially rejective multiple test procedure. Scandinavian journal of statistics 65–70.</w:t>
      </w:r>
    </w:p>
    <w:bookmarkEnd w:id="122"/>
    <w:bookmarkStart w:id="124"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3">
        <w:r>
          <w:rPr>
            <w:rStyle w:val="Hyperlink"/>
          </w:rPr>
          <w:t xml:space="preserve">https://doi.org/10.4319/lo.2006.51.1_part_2.0364</w:t>
        </w:r>
      </w:hyperlink>
    </w:p>
    <w:bookmarkEnd w:id="124"/>
    <w:bookmarkStart w:id="126" w:name="ref-Hudson11"/>
    <w:p>
      <w:pPr>
        <w:pStyle w:val="Bibliography"/>
      </w:pPr>
      <w:r>
        <w:t xml:space="preserve">Hudson-Edwards, K.A., Jamieson, H.E., Lottermoser, B.G., 2011. Mine wastes: Past, present, future. Elements 7, 375–380.</w:t>
      </w:r>
      <w:r>
        <w:t xml:space="preserve"> </w:t>
      </w:r>
      <w:hyperlink r:id="rId125">
        <w:r>
          <w:rPr>
            <w:rStyle w:val="Hyperlink"/>
          </w:rPr>
          <w:t xml:space="preserve">https://doi.org/10.2113/gselements.7.6.375</w:t>
        </w:r>
      </w:hyperlink>
    </w:p>
    <w:bookmarkEnd w:id="126"/>
    <w:bookmarkStart w:id="127"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7"/>
    <w:bookmarkStart w:id="128"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8"/>
    <w:bookmarkStart w:id="129"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29"/>
    <w:bookmarkStart w:id="131"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0">
        <w:r>
          <w:rPr>
            <w:rStyle w:val="Hyperlink"/>
          </w:rPr>
          <w:t xml:space="preserve">https://doi.org/10.1016/S0302-3524(80)80065-X</w:t>
        </w:r>
      </w:hyperlink>
    </w:p>
    <w:bookmarkEnd w:id="131"/>
    <w:bookmarkStart w:id="132"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2"/>
    <w:bookmarkStart w:id="133" w:name="ref-Lee20"/>
    <w:p>
      <w:pPr>
        <w:pStyle w:val="Bibliography"/>
      </w:pPr>
      <w:r>
        <w:t xml:space="preserve">Lee, L., 2020. NADA: Nondetects and data analysis for environmental data.</w:t>
      </w:r>
    </w:p>
    <w:bookmarkEnd w:id="133"/>
    <w:bookmarkStart w:id="135"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4">
        <w:r>
          <w:rPr>
            <w:rStyle w:val="Hyperlink"/>
          </w:rPr>
          <w:t xml:space="preserve">https://doi.org/10.1002/2016JC011938</w:t>
        </w:r>
      </w:hyperlink>
    </w:p>
    <w:bookmarkEnd w:id="135"/>
    <w:bookmarkStart w:id="137"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6">
        <w:r>
          <w:rPr>
            <w:rStyle w:val="Hyperlink"/>
          </w:rPr>
          <w:t xml:space="preserve">https://doi.org/10.1016/j.ocecoaman.2005.07.002</w:t>
        </w:r>
      </w:hyperlink>
    </w:p>
    <w:bookmarkEnd w:id="137"/>
    <w:bookmarkStart w:id="139"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8">
        <w:r>
          <w:rPr>
            <w:rStyle w:val="Hyperlink"/>
          </w:rPr>
          <w:t xml:space="preserve">https://doi.org/10.1016/j.hal.2020.101900</w:t>
        </w:r>
      </w:hyperlink>
    </w:p>
    <w:bookmarkEnd w:id="139"/>
    <w:bookmarkStart w:id="141"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0">
        <w:r>
          <w:rPr>
            <w:rStyle w:val="Hyperlink"/>
          </w:rPr>
          <w:t xml:space="preserve">https://doi.org/10.1016/j.envsoft.2019.03.027</w:t>
        </w:r>
      </w:hyperlink>
    </w:p>
    <w:bookmarkEnd w:id="141"/>
    <w:bookmarkStart w:id="143"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2">
        <w:r>
          <w:rPr>
            <w:rStyle w:val="Hyperlink"/>
          </w:rPr>
          <w:t xml:space="preserve">https://doi.org/10.1021/acs.est.1c05311</w:t>
        </w:r>
      </w:hyperlink>
    </w:p>
    <w:bookmarkEnd w:id="143"/>
    <w:bookmarkStart w:id="145" w:name="ref-Nixon95"/>
    <w:p>
      <w:pPr>
        <w:pStyle w:val="Bibliography"/>
      </w:pPr>
      <w:r>
        <w:t xml:space="preserve">Nixon, S.W., 1995. Coastal marine eutrophication: A definition, social causes, and future concerns. Ophelia 41, 199–219.</w:t>
      </w:r>
      <w:r>
        <w:t xml:space="preserve"> </w:t>
      </w:r>
      <w:hyperlink r:id="rId144">
        <w:r>
          <w:rPr>
            <w:rStyle w:val="Hyperlink"/>
          </w:rPr>
          <w:t xml:space="preserve">https://doi.org/10.1080/00785236.1995.10422044</w:t>
        </w:r>
      </w:hyperlink>
    </w:p>
    <w:bookmarkEnd w:id="145"/>
    <w:bookmarkStart w:id="146"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6"/>
    <w:bookmarkStart w:id="148"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7">
        <w:r>
          <w:rPr>
            <w:rStyle w:val="Hyperlink"/>
          </w:rPr>
          <w:t xml:space="preserve">https://doi.org/10.32614/RJ-2018-009</w:t>
        </w:r>
      </w:hyperlink>
    </w:p>
    <w:bookmarkEnd w:id="148"/>
    <w:bookmarkStart w:id="150"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9">
        <w:r>
          <w:rPr>
            <w:rStyle w:val="Hyperlink"/>
          </w:rPr>
          <w:t xml:space="preserve">https://doi.org/10.1016/j.scitotenv.2016.02.070</w:t>
        </w:r>
      </w:hyperlink>
    </w:p>
    <w:bookmarkEnd w:id="150"/>
    <w:bookmarkStart w:id="152"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1">
        <w:r>
          <w:rPr>
            <w:rStyle w:val="Hyperlink"/>
          </w:rPr>
          <w:t xml:space="preserve">https://doi.org/10.1016/j.apgeochem.2010.02.003</w:t>
        </w:r>
      </w:hyperlink>
    </w:p>
    <w:bookmarkEnd w:id="152"/>
    <w:bookmarkStart w:id="153" w:name="ref-RCT20"/>
    <w:p>
      <w:pPr>
        <w:pStyle w:val="Bibliography"/>
      </w:pPr>
      <w:r>
        <w:t xml:space="preserve">R Core Team, 2020. R: A language and environment for statistical computing, v4.0.3. R Foundation for Statistical Computing, Vienna, Austria.</w:t>
      </w:r>
    </w:p>
    <w:bookmarkEnd w:id="153"/>
    <w:bookmarkStart w:id="155"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54">
        <w:r>
          <w:rPr>
            <w:rStyle w:val="Hyperlink"/>
          </w:rPr>
          <w:t xml:space="preserve">https://doi.org/10.1038/s41598-020-74647-z</w:t>
        </w:r>
      </w:hyperlink>
    </w:p>
    <w:bookmarkEnd w:id="155"/>
    <w:bookmarkStart w:id="157"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6">
        <w:r>
          <w:rPr>
            <w:rStyle w:val="Hyperlink"/>
          </w:rPr>
          <w:t xml:space="preserve">https://doi.org/10.1007/s11270-013-1742-7</w:t>
        </w:r>
      </w:hyperlink>
    </w:p>
    <w:bookmarkEnd w:id="157"/>
    <w:bookmarkStart w:id="159"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8">
        <w:r>
          <w:rPr>
            <w:rStyle w:val="Hyperlink"/>
          </w:rPr>
          <w:t xml:space="preserve">https://doi.org/10.1016/j.ecolind.2020.107310</w:t>
        </w:r>
      </w:hyperlink>
    </w:p>
    <w:bookmarkEnd w:id="159"/>
    <w:bookmarkStart w:id="161"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0">
        <w:r>
          <w:rPr>
            <w:rStyle w:val="Hyperlink"/>
          </w:rPr>
          <w:t xml:space="preserve">https://doi.org/10.1353/sgo.2017.0026</w:t>
        </w:r>
      </w:hyperlink>
    </w:p>
    <w:bookmarkEnd w:id="161"/>
    <w:bookmarkStart w:id="163"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2">
        <w:r>
          <w:rPr>
            <w:rStyle w:val="Hyperlink"/>
          </w:rPr>
          <w:t xml:space="preserve">https://doi.org/10.1016/j.hal.2021.102118</w:t>
        </w:r>
      </w:hyperlink>
    </w:p>
    <w:bookmarkEnd w:id="163"/>
    <w:bookmarkStart w:id="165"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4">
        <w:r>
          <w:rPr>
            <w:rStyle w:val="Hyperlink"/>
          </w:rPr>
          <w:t xml:space="preserve">https://doi.org/10.1016/j.jembe.2005.11.025</w:t>
        </w:r>
      </w:hyperlink>
    </w:p>
    <w:bookmarkEnd w:id="165"/>
    <w:bookmarkStart w:id="167"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6">
        <w:r>
          <w:rPr>
            <w:rStyle w:val="Hyperlink"/>
          </w:rPr>
          <w:t xml:space="preserve">https://doi.org/10.1080/00139307509435842</w:t>
        </w:r>
      </w:hyperlink>
    </w:p>
    <w:bookmarkEnd w:id="167"/>
    <w:bookmarkStart w:id="169"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8">
        <w:r>
          <w:rPr>
            <w:rStyle w:val="Hyperlink"/>
          </w:rPr>
          <w:t xml:space="preserve">https://doi.org/10.1080/00139307209435473</w:t>
        </w:r>
      </w:hyperlink>
    </w:p>
    <w:bookmarkEnd w:id="169"/>
    <w:bookmarkStart w:id="170"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0"/>
    <w:bookmarkStart w:id="172"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1">
        <w:r>
          <w:rPr>
            <w:rStyle w:val="Hyperlink"/>
          </w:rPr>
          <w:t xml:space="preserve">https://doi.org/10.1016/j.jenvman.2009.03.007</w:t>
        </w:r>
      </w:hyperlink>
    </w:p>
    <w:bookmarkEnd w:id="172"/>
    <w:bookmarkStart w:id="174"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73">
        <w:r>
          <w:rPr>
            <w:rStyle w:val="Hyperlink"/>
          </w:rPr>
          <w:t xml:space="preserve">https://doi.org/10.1016/j.marpolbul.2020.111247</w:t>
        </w:r>
      </w:hyperlink>
    </w:p>
    <w:bookmarkEnd w:id="174"/>
    <w:bookmarkStart w:id="176"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75">
        <w:r>
          <w:rPr>
            <w:rStyle w:val="Hyperlink"/>
          </w:rPr>
          <w:t xml:space="preserve">https://doi.org/10.1016/j.marpolbul.2018.08.049</w:t>
        </w:r>
      </w:hyperlink>
    </w:p>
    <w:bookmarkEnd w:id="176"/>
    <w:bookmarkStart w:id="178"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7">
        <w:r>
          <w:rPr>
            <w:rStyle w:val="Hyperlink"/>
          </w:rPr>
          <w:t xml:space="preserve">https://doi.org/10.4319/lo.1997.42.5_part_2.1105</w:t>
        </w:r>
      </w:hyperlink>
    </w:p>
    <w:bookmarkEnd w:id="178"/>
    <w:bookmarkStart w:id="179"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79"/>
    <w:bookmarkStart w:id="181"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0">
        <w:r>
          <w:rPr>
            <w:rStyle w:val="Hyperlink"/>
          </w:rPr>
          <w:t xml:space="preserve">https://doi.org/10.1029/2018JC014887</w:t>
        </w:r>
      </w:hyperlink>
    </w:p>
    <w:bookmarkEnd w:id="181"/>
    <w:bookmarkStart w:id="183"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2">
        <w:r>
          <w:rPr>
            <w:rStyle w:val="Hyperlink"/>
          </w:rPr>
          <w:t xml:space="preserve">https://doi.org/10.1016/j.hal.2014.04.010</w:t>
        </w:r>
      </w:hyperlink>
    </w:p>
    <w:bookmarkEnd w:id="183"/>
    <w:bookmarkStart w:id="185"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4">
        <w:r>
          <w:rPr>
            <w:rStyle w:val="Hyperlink"/>
          </w:rPr>
          <w:t xml:space="preserve">https://doi.org/10.21105/joss.01686</w:t>
        </w:r>
      </w:hyperlink>
    </w:p>
    <w:bookmarkEnd w:id="185"/>
    <w:bookmarkStart w:id="186" w:name="ref-Wood17"/>
    <w:p>
      <w:pPr>
        <w:pStyle w:val="Bibliography"/>
      </w:pPr>
      <w:r>
        <w:t xml:space="preserve">Wood, S.N., 2017. Generalized additive models: An introduction with r, 2nd ed. Chapman; Hall, CRC Press, London, United Kingdom.</w:t>
      </w:r>
    </w:p>
    <w:bookmarkEnd w:id="186"/>
    <w:bookmarkEnd w:id="187"/>
    <w:bookmarkEnd w:id="188"/>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4" Target="media/rId64.jpg" /><Relationship Type="http://schemas.openxmlformats.org/officeDocument/2006/relationships/image" Id="rId65" Target="media/rId65.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67" Target="media/rId67.jpg" /><Relationship Type="http://schemas.openxmlformats.org/officeDocument/2006/relationships/image" Id="rId66" Target="media/rId66.jpg" /><Relationship Type="http://schemas.openxmlformats.org/officeDocument/2006/relationships/image" Id="rId73" Target="media/rId73.jpg" /><Relationship Type="http://schemas.openxmlformats.org/officeDocument/2006/relationships/image" Id="rId70" Target="media/rId70.jpg" /><Relationship Type="http://schemas.openxmlformats.org/officeDocument/2006/relationships/hyperlink" Id="rId43" Target="http://blogs.ifas.ufl.edu/news/2019/03/19/citizen-scientists-needed-to-survey-seagrass-seaweed-in-charlotte-harbor/" TargetMode="External" /><Relationship Type="http://schemas.openxmlformats.org/officeDocument/2006/relationships/hyperlink" Id="rId134"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6"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30" Target="https://doi.org/10.1016/S0302-3524(80)80065-X" TargetMode="External" /><Relationship Type="http://schemas.openxmlformats.org/officeDocument/2006/relationships/hyperlink" Id="rId151" Target="https://doi.org/10.1016/j.apgeochem.2010.02.003" TargetMode="External" /><Relationship Type="http://schemas.openxmlformats.org/officeDocument/2006/relationships/hyperlink" Id="rId158"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40" Target="https://doi.org/10.1016/j.envsoft.2019.03.027" TargetMode="External" /><Relationship Type="http://schemas.openxmlformats.org/officeDocument/2006/relationships/hyperlink" Id="rId76" Target="https://doi.org/10.1016/j.hal.2006.08.004" TargetMode="External" /><Relationship Type="http://schemas.openxmlformats.org/officeDocument/2006/relationships/hyperlink" Id="rId182" Target="https://doi.org/10.1016/j.hal.2014.04.010" TargetMode="External" /><Relationship Type="http://schemas.openxmlformats.org/officeDocument/2006/relationships/hyperlink" Id="rId138" Target="https://doi.org/10.1016/j.hal.2020.101900" TargetMode="External" /><Relationship Type="http://schemas.openxmlformats.org/officeDocument/2006/relationships/hyperlink" Id="rId162" Target="https://doi.org/10.1016/j.hal.2021.102118" TargetMode="External" /><Relationship Type="http://schemas.openxmlformats.org/officeDocument/2006/relationships/hyperlink" Id="rId164" Target="https://doi.org/10.1016/j.jembe.2005.11.025" TargetMode="External" /><Relationship Type="http://schemas.openxmlformats.org/officeDocument/2006/relationships/hyperlink" Id="rId171" Target="https://doi.org/10.1016/j.jenvman.2009.03.007" TargetMode="External" /><Relationship Type="http://schemas.openxmlformats.org/officeDocument/2006/relationships/hyperlink" Id="rId78"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75" Target="https://doi.org/10.1016/j.marpolbul.2018.08.049" TargetMode="External" /><Relationship Type="http://schemas.openxmlformats.org/officeDocument/2006/relationships/hyperlink" Id="rId173" Target="https://doi.org/10.1016/j.marpolbul.2020.111247" TargetMode="External" /><Relationship Type="http://schemas.openxmlformats.org/officeDocument/2006/relationships/hyperlink" Id="rId136" Target="https://doi.org/10.1016/j.ocecoaman.2005.07.002" TargetMode="External" /><Relationship Type="http://schemas.openxmlformats.org/officeDocument/2006/relationships/hyperlink" Id="rId149" Target="https://doi.org/10.1016/j.scitotenv.2016.02.070" TargetMode="External" /><Relationship Type="http://schemas.openxmlformats.org/officeDocument/2006/relationships/hyperlink" Id="rId142" Target="https://doi.org/10.1021/acs.est.1c05311" TargetMode="External" /><Relationship Type="http://schemas.openxmlformats.org/officeDocument/2006/relationships/hyperlink" Id="rId180"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54" Target="https://doi.org/10.1038/s41598-020-74647-z" TargetMode="External" /><Relationship Type="http://schemas.openxmlformats.org/officeDocument/2006/relationships/hyperlink" Id="rId168" Target="https://doi.org/10.1080/00139307209435473" TargetMode="External" /><Relationship Type="http://schemas.openxmlformats.org/officeDocument/2006/relationships/hyperlink" Id="rId166" Target="https://doi.org/10.1080/00139307509435842" TargetMode="External" /><Relationship Type="http://schemas.openxmlformats.org/officeDocument/2006/relationships/hyperlink" Id="rId144" Target="https://doi.org/10.1080/00785236.1995.10422044" TargetMode="External" /><Relationship Type="http://schemas.openxmlformats.org/officeDocument/2006/relationships/hyperlink" Id="rId160"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84"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7"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80" Target="https://doi.org/10.4319/lo.1976.21.2.0212" TargetMode="External" /><Relationship Type="http://schemas.openxmlformats.org/officeDocument/2006/relationships/hyperlink" Id="rId177"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0" Target="https://floridadep.gov/sites/default/files/21-0323.pdf" TargetMode="External" /><Relationship Type="http://schemas.openxmlformats.org/officeDocument/2006/relationships/hyperlink" Id="rId60" Target="https://myfwc.com/media/25649/2021preliminaryredtide.pdf" TargetMode="External" /><Relationship Type="http://schemas.openxmlformats.org/officeDocument/2006/relationships/hyperlink" Id="rId61" Target="https://myfwc.com/research/manatee/rescue-mortality-response/ume/" TargetMode="External" /><Relationship Type="http://schemas.openxmlformats.org/officeDocument/2006/relationships/hyperlink" Id="rId42" Target="https://myfwc.com/research/redtide/statewid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2" Target="https://public.myfwc.com/FWRI/FishKillReport/" TargetMode="External" /><Relationship Type="http://schemas.openxmlformats.org/officeDocument/2006/relationships/hyperlink" Id="rId58" Target="https://shiny.tbep.org/piney-point" TargetMode="External" /><Relationship Type="http://schemas.openxmlformats.org/officeDocument/2006/relationships/hyperlink" Id="rId46"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9"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5"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1"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28"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5"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0" Target="mailto:elise.morrison@essie.ufl.edu" TargetMode="External" /><Relationship Type="http://schemas.openxmlformats.org/officeDocument/2006/relationships/hyperlink" Id="rId34" Target="mailto:esherwood@tbep.org" TargetMode="External" /><Relationship Type="http://schemas.openxmlformats.org/officeDocument/2006/relationships/hyperlink" Id="rId32"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29" Target="mailto:miles.medina@ufl.edu" TargetMode="External" /><Relationship Type="http://schemas.openxmlformats.org/officeDocument/2006/relationships/hyperlink" Id="rId37" Target="mailto:nijole.wellendorf@floridadep.org" TargetMode="External" /><Relationship Type="http://schemas.openxmlformats.org/officeDocument/2006/relationships/hyperlink" Id="rId31" Target="mailto:phlips@ufl.edu" TargetMode="External" /><Relationship Type="http://schemas.openxmlformats.org/officeDocument/2006/relationships/hyperlink" Id="rId33" Target="mailto:sscolaro@tbep.org" TargetMode="External" /><Relationship Type="http://schemas.openxmlformats.org/officeDocument/2006/relationships/hyperlink" Id="rId36" Target="mailto:weisberg@usf.edu" TargetMode="External" /><Relationship Type="http://schemas.openxmlformats.org/officeDocument/2006/relationships/hyperlink" Id="rId27"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3" Target="http://blogs.ifas.ufl.edu/news/2019/03/19/citizen-scientists-needed-to-survey-seagrass-seaweed-in-charlotte-harbor/" TargetMode="External" /><Relationship Type="http://schemas.openxmlformats.org/officeDocument/2006/relationships/hyperlink" Id="rId134"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6"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30" Target="https://doi.org/10.1016/S0302-3524(80)80065-X" TargetMode="External" /><Relationship Type="http://schemas.openxmlformats.org/officeDocument/2006/relationships/hyperlink" Id="rId151" Target="https://doi.org/10.1016/j.apgeochem.2010.02.003" TargetMode="External" /><Relationship Type="http://schemas.openxmlformats.org/officeDocument/2006/relationships/hyperlink" Id="rId158"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40" Target="https://doi.org/10.1016/j.envsoft.2019.03.027" TargetMode="External" /><Relationship Type="http://schemas.openxmlformats.org/officeDocument/2006/relationships/hyperlink" Id="rId76" Target="https://doi.org/10.1016/j.hal.2006.08.004" TargetMode="External" /><Relationship Type="http://schemas.openxmlformats.org/officeDocument/2006/relationships/hyperlink" Id="rId182" Target="https://doi.org/10.1016/j.hal.2014.04.010" TargetMode="External" /><Relationship Type="http://schemas.openxmlformats.org/officeDocument/2006/relationships/hyperlink" Id="rId138" Target="https://doi.org/10.1016/j.hal.2020.101900" TargetMode="External" /><Relationship Type="http://schemas.openxmlformats.org/officeDocument/2006/relationships/hyperlink" Id="rId162" Target="https://doi.org/10.1016/j.hal.2021.102118" TargetMode="External" /><Relationship Type="http://schemas.openxmlformats.org/officeDocument/2006/relationships/hyperlink" Id="rId164" Target="https://doi.org/10.1016/j.jembe.2005.11.025" TargetMode="External" /><Relationship Type="http://schemas.openxmlformats.org/officeDocument/2006/relationships/hyperlink" Id="rId171" Target="https://doi.org/10.1016/j.jenvman.2009.03.007" TargetMode="External" /><Relationship Type="http://schemas.openxmlformats.org/officeDocument/2006/relationships/hyperlink" Id="rId78"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75" Target="https://doi.org/10.1016/j.marpolbul.2018.08.049" TargetMode="External" /><Relationship Type="http://schemas.openxmlformats.org/officeDocument/2006/relationships/hyperlink" Id="rId173" Target="https://doi.org/10.1016/j.marpolbul.2020.111247" TargetMode="External" /><Relationship Type="http://schemas.openxmlformats.org/officeDocument/2006/relationships/hyperlink" Id="rId136" Target="https://doi.org/10.1016/j.ocecoaman.2005.07.002" TargetMode="External" /><Relationship Type="http://schemas.openxmlformats.org/officeDocument/2006/relationships/hyperlink" Id="rId149" Target="https://doi.org/10.1016/j.scitotenv.2016.02.070" TargetMode="External" /><Relationship Type="http://schemas.openxmlformats.org/officeDocument/2006/relationships/hyperlink" Id="rId142" Target="https://doi.org/10.1021/acs.est.1c05311" TargetMode="External" /><Relationship Type="http://schemas.openxmlformats.org/officeDocument/2006/relationships/hyperlink" Id="rId180"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54" Target="https://doi.org/10.1038/s41598-020-74647-z" TargetMode="External" /><Relationship Type="http://schemas.openxmlformats.org/officeDocument/2006/relationships/hyperlink" Id="rId168" Target="https://doi.org/10.1080/00139307209435473" TargetMode="External" /><Relationship Type="http://schemas.openxmlformats.org/officeDocument/2006/relationships/hyperlink" Id="rId166" Target="https://doi.org/10.1080/00139307509435842" TargetMode="External" /><Relationship Type="http://schemas.openxmlformats.org/officeDocument/2006/relationships/hyperlink" Id="rId144" Target="https://doi.org/10.1080/00785236.1995.10422044" TargetMode="External" /><Relationship Type="http://schemas.openxmlformats.org/officeDocument/2006/relationships/hyperlink" Id="rId160"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84"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7"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80" Target="https://doi.org/10.4319/lo.1976.21.2.0212" TargetMode="External" /><Relationship Type="http://schemas.openxmlformats.org/officeDocument/2006/relationships/hyperlink" Id="rId177"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0" Target="https://floridadep.gov/sites/default/files/21-0323.pdf" TargetMode="External" /><Relationship Type="http://schemas.openxmlformats.org/officeDocument/2006/relationships/hyperlink" Id="rId60" Target="https://myfwc.com/media/25649/2021preliminaryredtide.pdf" TargetMode="External" /><Relationship Type="http://schemas.openxmlformats.org/officeDocument/2006/relationships/hyperlink" Id="rId61" Target="https://myfwc.com/research/manatee/rescue-mortality-response/ume/" TargetMode="External" /><Relationship Type="http://schemas.openxmlformats.org/officeDocument/2006/relationships/hyperlink" Id="rId42" Target="https://myfwc.com/research/redtide/statewid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2" Target="https://public.myfwc.com/FWRI/FishKillReport/" TargetMode="External" /><Relationship Type="http://schemas.openxmlformats.org/officeDocument/2006/relationships/hyperlink" Id="rId58" Target="https://shiny.tbep.org/piney-point" TargetMode="External" /><Relationship Type="http://schemas.openxmlformats.org/officeDocument/2006/relationships/hyperlink" Id="rId46"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9"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5"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1"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28"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5"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0" Target="mailto:elise.morrison@essie.ufl.edu" TargetMode="External" /><Relationship Type="http://schemas.openxmlformats.org/officeDocument/2006/relationships/hyperlink" Id="rId34" Target="mailto:esherwood@tbep.org" TargetMode="External" /><Relationship Type="http://schemas.openxmlformats.org/officeDocument/2006/relationships/hyperlink" Id="rId32"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29" Target="mailto:miles.medina@ufl.edu" TargetMode="External" /><Relationship Type="http://schemas.openxmlformats.org/officeDocument/2006/relationships/hyperlink" Id="rId37" Target="mailto:nijole.wellendorf@floridadep.org" TargetMode="External" /><Relationship Type="http://schemas.openxmlformats.org/officeDocument/2006/relationships/hyperlink" Id="rId31" Target="mailto:phlips@ufl.edu" TargetMode="External" /><Relationship Type="http://schemas.openxmlformats.org/officeDocument/2006/relationships/hyperlink" Id="rId33" Target="mailto:sscolaro@tbep.org" TargetMode="External" /><Relationship Type="http://schemas.openxmlformats.org/officeDocument/2006/relationships/hyperlink" Id="rId36" Target="mailto:weisberg@usf.edu" TargetMode="External" /><Relationship Type="http://schemas.openxmlformats.org/officeDocument/2006/relationships/hyperlink" Id="rId27"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Bob Weisberg (weisberg@usf.edu), Nijole Wellendorf (nijole.wellendorf@floridadep.org), Joe Whalen (jwhalen@tbep.org)</dc:creator>
  <cp:keywords/>
  <dcterms:created xsi:type="dcterms:W3CDTF">2021-12-01T18:08:24Z</dcterms:created>
  <dcterms:modified xsi:type="dcterms:W3CDTF">2021-12-01T18:08:24Z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